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A2EC6">
        <w:rPr>
          <w:color w:val="000000"/>
          <w:szCs w:val="28"/>
        </w:rPr>
        <w:t>7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 xml:space="preserve">№ </w:t>
      </w:r>
      <w:r w:rsidR="007006A5">
        <w:rPr>
          <w:color w:val="000000"/>
          <w:szCs w:val="28"/>
        </w:rPr>
        <w:t>2</w:t>
      </w:r>
      <w:r w:rsidR="00DA2EC6">
        <w:rPr>
          <w:color w:val="000000"/>
          <w:szCs w:val="28"/>
        </w:rPr>
        <w:t>2</w:t>
      </w:r>
      <w:r w:rsidR="004C688D" w:rsidRPr="004C688D">
        <w:rPr>
          <w:color w:val="000000"/>
          <w:szCs w:val="28"/>
        </w:rPr>
        <w:t>/</w:t>
      </w:r>
      <w:r w:rsidR="007006A5">
        <w:rPr>
          <w:color w:val="000000"/>
          <w:szCs w:val="28"/>
        </w:rPr>
        <w:t>1</w:t>
      </w:r>
      <w:r w:rsidR="00DA2EC6">
        <w:rPr>
          <w:color w:val="000000"/>
          <w:szCs w:val="28"/>
        </w:rPr>
        <w:t>9</w:t>
      </w:r>
      <w:r w:rsidR="00C34C08">
        <w:rPr>
          <w:color w:val="000000"/>
          <w:szCs w:val="28"/>
        </w:rPr>
        <w:t>3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</w:t>
      </w:r>
      <w:r w:rsidR="00C63C2D" w:rsidRPr="00C63C2D">
        <w:rPr>
          <w:b w:val="0"/>
          <w:bCs w:val="0"/>
        </w:rPr>
        <w:t>№ 01-0</w:t>
      </w:r>
      <w:r w:rsidR="00E73192">
        <w:rPr>
          <w:b w:val="0"/>
          <w:bCs w:val="0"/>
        </w:rPr>
        <w:t>1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C831C8" w:rsidRPr="00C831C8">
        <w:rPr>
          <w:b w:val="0"/>
        </w:rPr>
        <w:t>№ 01-0</w:t>
      </w:r>
      <w:r w:rsidR="00E73192">
        <w:rPr>
          <w:b w:val="0"/>
        </w:rPr>
        <w:t>1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DA2EC6">
        <w:rPr>
          <w:b w:val="0"/>
          <w:szCs w:val="28"/>
        </w:rPr>
        <w:t>5</w:t>
      </w:r>
      <w:r w:rsidR="00297DC7">
        <w:rPr>
          <w:b w:val="0"/>
          <w:szCs w:val="28"/>
        </w:rPr>
        <w:t xml:space="preserve"> (</w:t>
      </w:r>
      <w:r w:rsidR="00DA2EC6">
        <w:rPr>
          <w:b w:val="0"/>
          <w:szCs w:val="28"/>
        </w:rPr>
        <w:t>пять</w:t>
      </w:r>
      <w:r w:rsidR="00297DC7">
        <w:rPr>
          <w:b w:val="0"/>
          <w:szCs w:val="28"/>
        </w:rPr>
        <w:t>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DA2EC6" w:rsidRPr="00DA2EC6">
        <w:rPr>
          <w:b w:val="0"/>
        </w:rPr>
        <w:t>№ 01-0</w:t>
      </w:r>
      <w:r w:rsidR="00E73192">
        <w:rPr>
          <w:b w:val="0"/>
        </w:rPr>
        <w:t>1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DA2EC6" w:rsidRPr="00DA2EC6">
        <w:rPr>
          <w:b w:val="0"/>
        </w:rPr>
        <w:t>№ 01-0</w:t>
      </w:r>
      <w:r w:rsidR="00E73192">
        <w:rPr>
          <w:b w:val="0"/>
        </w:rPr>
        <w:t>1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 xml:space="preserve">4. Направить настоящее решение в участковую избирательную комиссию </w:t>
      </w:r>
      <w:r w:rsidR="00DA2EC6" w:rsidRPr="00DA2EC6">
        <w:rPr>
          <w:b w:val="0"/>
        </w:rPr>
        <w:t>№ 01-0</w:t>
      </w:r>
      <w:r w:rsidR="00E73192">
        <w:rPr>
          <w:b w:val="0"/>
        </w:rPr>
        <w:t>1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4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C34C08" w:rsidRPr="00C34C08">
              <w:rPr>
                <w:rFonts w:ascii="Times New Roman" w:hAnsi="Times New Roman" w:cs="Times New Roman"/>
                <w:sz w:val="28"/>
                <w:szCs w:val="28"/>
              </w:rPr>
              <w:t>№ 22/193</w:t>
            </w:r>
            <w:r w:rsidR="006E687D" w:rsidRPr="006E68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094186" w:rsidRPr="00094186">
        <w:t>№ 01-0</w:t>
      </w:r>
      <w:r w:rsidR="00E73192">
        <w:t>1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094186" w:rsidP="00E73192">
            <w:pPr>
              <w:pStyle w:val="a5"/>
              <w:jc w:val="center"/>
            </w:pPr>
            <w:r w:rsidRPr="00094186">
              <w:t>01-0</w:t>
            </w:r>
            <w:r w:rsidR="00E7319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72E15" w:rsidP="00F51F03">
            <w:pPr>
              <w:pStyle w:val="a5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094186" w:rsidP="00C72E15">
            <w:pPr>
              <w:pStyle w:val="a5"/>
              <w:jc w:val="center"/>
            </w:pPr>
            <w:r w:rsidRPr="00094186">
              <w:t>(</w:t>
            </w:r>
            <w:r w:rsidR="00C72E15">
              <w:t>пять</w:t>
            </w:r>
            <w:r w:rsidRPr="00094186">
              <w:t>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E73192" w:rsidP="00E95A7D">
            <w:pPr>
              <w:pStyle w:val="a5"/>
              <w:jc w:val="center"/>
            </w:pPr>
            <w:r w:rsidRPr="00E73192">
              <w:rPr>
                <w:szCs w:val="28"/>
              </w:rPr>
              <w:t>с № 2381165 по № 2381169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3E" w:rsidRDefault="00C72F3E" w:rsidP="001040BC">
      <w:pPr>
        <w:spacing w:after="0" w:line="240" w:lineRule="auto"/>
      </w:pPr>
      <w:r>
        <w:separator/>
      </w:r>
    </w:p>
  </w:endnote>
  <w:endnote w:type="continuationSeparator" w:id="0">
    <w:p w:rsidR="00C72F3E" w:rsidRDefault="00C72F3E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3E" w:rsidRDefault="00C72F3E" w:rsidP="001040BC">
      <w:pPr>
        <w:spacing w:after="0" w:line="240" w:lineRule="auto"/>
      </w:pPr>
      <w:r>
        <w:separator/>
      </w:r>
    </w:p>
  </w:footnote>
  <w:footnote w:type="continuationSeparator" w:id="0">
    <w:p w:rsidR="00C72F3E" w:rsidRDefault="00C72F3E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2505BD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55860"/>
    <w:rsid w:val="00057C7A"/>
    <w:rsid w:val="00084AA7"/>
    <w:rsid w:val="00094186"/>
    <w:rsid w:val="000E2085"/>
    <w:rsid w:val="000F1D79"/>
    <w:rsid w:val="001028C5"/>
    <w:rsid w:val="001040BC"/>
    <w:rsid w:val="001071FC"/>
    <w:rsid w:val="0014651E"/>
    <w:rsid w:val="001A4640"/>
    <w:rsid w:val="002348FB"/>
    <w:rsid w:val="002505BD"/>
    <w:rsid w:val="00256814"/>
    <w:rsid w:val="00277B6C"/>
    <w:rsid w:val="002826BB"/>
    <w:rsid w:val="00287A04"/>
    <w:rsid w:val="002926A0"/>
    <w:rsid w:val="00294ECC"/>
    <w:rsid w:val="00295DDD"/>
    <w:rsid w:val="00297DC7"/>
    <w:rsid w:val="002A6802"/>
    <w:rsid w:val="002A6962"/>
    <w:rsid w:val="003038DC"/>
    <w:rsid w:val="00316EFF"/>
    <w:rsid w:val="00323E98"/>
    <w:rsid w:val="003409A9"/>
    <w:rsid w:val="00344F94"/>
    <w:rsid w:val="00355435"/>
    <w:rsid w:val="00363110"/>
    <w:rsid w:val="0036672D"/>
    <w:rsid w:val="00377231"/>
    <w:rsid w:val="00381194"/>
    <w:rsid w:val="00381A62"/>
    <w:rsid w:val="003873A1"/>
    <w:rsid w:val="003D7A43"/>
    <w:rsid w:val="003E119B"/>
    <w:rsid w:val="003E2220"/>
    <w:rsid w:val="003F6226"/>
    <w:rsid w:val="00431A3A"/>
    <w:rsid w:val="004346ED"/>
    <w:rsid w:val="00446446"/>
    <w:rsid w:val="00461303"/>
    <w:rsid w:val="004660F3"/>
    <w:rsid w:val="004776EF"/>
    <w:rsid w:val="004920F0"/>
    <w:rsid w:val="004940B4"/>
    <w:rsid w:val="004B00A5"/>
    <w:rsid w:val="004C20C4"/>
    <w:rsid w:val="004C688D"/>
    <w:rsid w:val="004D0DE9"/>
    <w:rsid w:val="004E44A5"/>
    <w:rsid w:val="00507386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B482A"/>
    <w:rsid w:val="005C3A33"/>
    <w:rsid w:val="005C597C"/>
    <w:rsid w:val="005D7330"/>
    <w:rsid w:val="005E2746"/>
    <w:rsid w:val="005F103A"/>
    <w:rsid w:val="0060556E"/>
    <w:rsid w:val="006126EC"/>
    <w:rsid w:val="00632DBB"/>
    <w:rsid w:val="006531FF"/>
    <w:rsid w:val="006A3D95"/>
    <w:rsid w:val="006B2198"/>
    <w:rsid w:val="006E687D"/>
    <w:rsid w:val="006F48FC"/>
    <w:rsid w:val="007006A5"/>
    <w:rsid w:val="00700C7E"/>
    <w:rsid w:val="00713A9B"/>
    <w:rsid w:val="00730C7D"/>
    <w:rsid w:val="00753274"/>
    <w:rsid w:val="007560E5"/>
    <w:rsid w:val="007718C3"/>
    <w:rsid w:val="007D0590"/>
    <w:rsid w:val="008063F6"/>
    <w:rsid w:val="00811FD7"/>
    <w:rsid w:val="008165E9"/>
    <w:rsid w:val="00825629"/>
    <w:rsid w:val="00831E72"/>
    <w:rsid w:val="0088709D"/>
    <w:rsid w:val="008D14AE"/>
    <w:rsid w:val="008E0582"/>
    <w:rsid w:val="008F5AB3"/>
    <w:rsid w:val="0092600B"/>
    <w:rsid w:val="00931DF2"/>
    <w:rsid w:val="0093241A"/>
    <w:rsid w:val="00943188"/>
    <w:rsid w:val="0094461D"/>
    <w:rsid w:val="009472E8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A42556"/>
    <w:rsid w:val="00A55E4A"/>
    <w:rsid w:val="00A90408"/>
    <w:rsid w:val="00A9188F"/>
    <w:rsid w:val="00AC3A33"/>
    <w:rsid w:val="00B34238"/>
    <w:rsid w:val="00B413A6"/>
    <w:rsid w:val="00B66EB6"/>
    <w:rsid w:val="00BA0EB7"/>
    <w:rsid w:val="00BA7010"/>
    <w:rsid w:val="00BD645F"/>
    <w:rsid w:val="00C15552"/>
    <w:rsid w:val="00C206C2"/>
    <w:rsid w:val="00C34C08"/>
    <w:rsid w:val="00C51222"/>
    <w:rsid w:val="00C63C2D"/>
    <w:rsid w:val="00C72200"/>
    <w:rsid w:val="00C72E15"/>
    <w:rsid w:val="00C72F3E"/>
    <w:rsid w:val="00C831C8"/>
    <w:rsid w:val="00C958CE"/>
    <w:rsid w:val="00C97DCF"/>
    <w:rsid w:val="00CA4EC2"/>
    <w:rsid w:val="00CA7C28"/>
    <w:rsid w:val="00CC02E4"/>
    <w:rsid w:val="00CC10DC"/>
    <w:rsid w:val="00CE5728"/>
    <w:rsid w:val="00CE6B75"/>
    <w:rsid w:val="00CF1825"/>
    <w:rsid w:val="00CF1F66"/>
    <w:rsid w:val="00CF64DB"/>
    <w:rsid w:val="00D03DB9"/>
    <w:rsid w:val="00D228C3"/>
    <w:rsid w:val="00D5768E"/>
    <w:rsid w:val="00D57944"/>
    <w:rsid w:val="00D60F07"/>
    <w:rsid w:val="00D66E60"/>
    <w:rsid w:val="00DA2EC6"/>
    <w:rsid w:val="00DA6FDA"/>
    <w:rsid w:val="00DB78A1"/>
    <w:rsid w:val="00DC02E2"/>
    <w:rsid w:val="00DD6BC9"/>
    <w:rsid w:val="00DD7AAA"/>
    <w:rsid w:val="00E4148C"/>
    <w:rsid w:val="00E55D70"/>
    <w:rsid w:val="00E56980"/>
    <w:rsid w:val="00E57E7E"/>
    <w:rsid w:val="00E700A2"/>
    <w:rsid w:val="00E73192"/>
    <w:rsid w:val="00E83FEE"/>
    <w:rsid w:val="00E87586"/>
    <w:rsid w:val="00E95A7D"/>
    <w:rsid w:val="00EB2BBE"/>
    <w:rsid w:val="00EB423B"/>
    <w:rsid w:val="00EB5868"/>
    <w:rsid w:val="00EC14EA"/>
    <w:rsid w:val="00EC3AE5"/>
    <w:rsid w:val="00ED7825"/>
    <w:rsid w:val="00EF2C2C"/>
    <w:rsid w:val="00EF36DB"/>
    <w:rsid w:val="00F11184"/>
    <w:rsid w:val="00F365B9"/>
    <w:rsid w:val="00F67D1C"/>
    <w:rsid w:val="00F91670"/>
    <w:rsid w:val="00FA316B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233</cp:revision>
  <cp:lastPrinted>2016-09-14T09:01:00Z</cp:lastPrinted>
  <dcterms:created xsi:type="dcterms:W3CDTF">2011-11-21T06:10:00Z</dcterms:created>
  <dcterms:modified xsi:type="dcterms:W3CDTF">2017-02-03T11:49:00Z</dcterms:modified>
</cp:coreProperties>
</file>